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10" w:rsidRDefault="00DF4C10" w:rsidP="00482031">
      <w:pPr>
        <w:jc w:val="center"/>
        <w:rPr>
          <w:rFonts w:ascii="Times New Roman" w:hAnsi="Times New Roman" w:cs="Times New Roman"/>
          <w:b/>
          <w:sz w:val="24"/>
        </w:rPr>
      </w:pPr>
      <w:r>
        <w:rPr>
          <w:rFonts w:ascii="Times New Roman" w:hAnsi="Times New Roman" w:cs="Times New Roman"/>
          <w:b/>
          <w:noProof/>
          <w:sz w:val="24"/>
          <w:lang w:eastAsia="tr-TR"/>
        </w:rPr>
        <w:drawing>
          <wp:inline distT="0" distB="0" distL="0" distR="0">
            <wp:extent cx="1813576" cy="1820173"/>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196" cy="1820796"/>
                    </a:xfrm>
                    <a:prstGeom prst="rect">
                      <a:avLst/>
                    </a:prstGeom>
                  </pic:spPr>
                </pic:pic>
              </a:graphicData>
            </a:graphic>
          </wp:inline>
        </w:drawing>
      </w:r>
    </w:p>
    <w:p w:rsidR="00482031" w:rsidRPr="00260F91" w:rsidRDefault="00482031" w:rsidP="00482031">
      <w:pPr>
        <w:jc w:val="center"/>
        <w:rPr>
          <w:rFonts w:ascii="Times New Roman" w:hAnsi="Times New Roman" w:cs="Times New Roman"/>
          <w:b/>
          <w:sz w:val="24"/>
        </w:rPr>
      </w:pPr>
      <w:r w:rsidRPr="00260F91">
        <w:rPr>
          <w:rFonts w:ascii="Times New Roman" w:hAnsi="Times New Roman" w:cs="Times New Roman"/>
          <w:b/>
          <w:sz w:val="24"/>
        </w:rPr>
        <w:t>DÜZCE ÜNİVERSİTESİ</w:t>
      </w:r>
    </w:p>
    <w:p w:rsidR="00482031" w:rsidRPr="00260F91" w:rsidRDefault="00482031" w:rsidP="00482031">
      <w:pPr>
        <w:jc w:val="center"/>
        <w:rPr>
          <w:rFonts w:ascii="Times New Roman" w:hAnsi="Times New Roman" w:cs="Times New Roman"/>
          <w:b/>
          <w:sz w:val="24"/>
        </w:rPr>
      </w:pPr>
      <w:r w:rsidRPr="00260F91">
        <w:rPr>
          <w:rFonts w:ascii="Times New Roman" w:hAnsi="Times New Roman" w:cs="Times New Roman"/>
          <w:b/>
          <w:sz w:val="24"/>
        </w:rPr>
        <w:t>SAĞLIK HİZMETLERİ MESLEK YÜKSEKOKULU</w:t>
      </w:r>
    </w:p>
    <w:p w:rsidR="00482031" w:rsidRPr="00260F91" w:rsidRDefault="00482031" w:rsidP="00482031">
      <w:pPr>
        <w:jc w:val="center"/>
        <w:rPr>
          <w:rFonts w:ascii="Times New Roman" w:hAnsi="Times New Roman" w:cs="Times New Roman"/>
          <w:b/>
          <w:sz w:val="24"/>
        </w:rPr>
      </w:pPr>
      <w:r w:rsidRPr="00260F91">
        <w:rPr>
          <w:rFonts w:ascii="Times New Roman" w:hAnsi="Times New Roman" w:cs="Times New Roman"/>
          <w:b/>
          <w:sz w:val="24"/>
        </w:rPr>
        <w:t>KURUMLAR ARASI Y</w:t>
      </w:r>
      <w:bookmarkStart w:id="0" w:name="_GoBack"/>
      <w:bookmarkEnd w:id="0"/>
      <w:r w:rsidRPr="00260F91">
        <w:rPr>
          <w:rFonts w:ascii="Times New Roman" w:hAnsi="Times New Roman" w:cs="Times New Roman"/>
          <w:b/>
          <w:sz w:val="24"/>
        </w:rPr>
        <w:t>ATAY GEÇİŞ</w:t>
      </w:r>
    </w:p>
    <w:p w:rsidR="00482031" w:rsidRPr="00260F91" w:rsidRDefault="00482031" w:rsidP="00482031">
      <w:pPr>
        <w:jc w:val="center"/>
        <w:rPr>
          <w:rFonts w:ascii="Times New Roman" w:hAnsi="Times New Roman" w:cs="Times New Roman"/>
          <w:b/>
          <w:color w:val="FF0000"/>
          <w:sz w:val="24"/>
        </w:rPr>
      </w:pPr>
      <w:r w:rsidRPr="00260F91">
        <w:rPr>
          <w:rFonts w:ascii="Times New Roman" w:hAnsi="Times New Roman" w:cs="Times New Roman"/>
          <w:b/>
          <w:color w:val="FF0000"/>
          <w:sz w:val="24"/>
        </w:rPr>
        <w:t>(</w:t>
      </w:r>
      <w:r w:rsidR="00260F91" w:rsidRPr="00260F91">
        <w:rPr>
          <w:rFonts w:ascii="Times New Roman" w:hAnsi="Times New Roman" w:cs="Times New Roman"/>
          <w:b/>
          <w:color w:val="FF0000"/>
          <w:sz w:val="24"/>
        </w:rPr>
        <w:t>MERKEZİ YERLEŞTİRME PUANINA</w:t>
      </w:r>
      <w:r w:rsidRPr="00260F91">
        <w:rPr>
          <w:rFonts w:ascii="Times New Roman" w:hAnsi="Times New Roman" w:cs="Times New Roman"/>
          <w:b/>
          <w:color w:val="FF0000"/>
          <w:sz w:val="24"/>
        </w:rPr>
        <w:t xml:space="preserve"> GÖRE)</w:t>
      </w:r>
    </w:p>
    <w:p w:rsidR="00C722D9" w:rsidRDefault="00260F91" w:rsidP="00B64A78">
      <w:pPr>
        <w:jc w:val="both"/>
        <w:rPr>
          <w:rFonts w:ascii="Times New Roman" w:hAnsi="Times New Roman" w:cs="Times New Roman"/>
        </w:rPr>
      </w:pPr>
      <w:r w:rsidRPr="00C722D9">
        <w:rPr>
          <w:rFonts w:ascii="Times New Roman" w:hAnsi="Times New Roman" w:cs="Times New Roman"/>
        </w:rPr>
        <w:t>Merkezi Yerleştirme Puanına göre yapılacak olan başvur</w:t>
      </w:r>
      <w:r w:rsidR="00C722D9" w:rsidRPr="00C722D9">
        <w:rPr>
          <w:rFonts w:ascii="Times New Roman" w:hAnsi="Times New Roman" w:cs="Times New Roman"/>
        </w:rPr>
        <w:t>u</w:t>
      </w:r>
      <w:r w:rsidRPr="00C722D9">
        <w:rPr>
          <w:rFonts w:ascii="Times New Roman" w:hAnsi="Times New Roman" w:cs="Times New Roman"/>
        </w:rPr>
        <w:t>ların değerlendirme</w:t>
      </w:r>
      <w:r w:rsidR="00C722D9">
        <w:rPr>
          <w:rFonts w:ascii="Times New Roman" w:hAnsi="Times New Roman" w:cs="Times New Roman"/>
        </w:rPr>
        <w:t xml:space="preserve"> koşulları </w:t>
      </w:r>
      <w:r w:rsidRPr="00C722D9">
        <w:rPr>
          <w:rFonts w:ascii="Times New Roman" w:hAnsi="Times New Roman" w:cs="Times New Roman"/>
        </w:rPr>
        <w:t xml:space="preserve">Yükseköğretim Yürütme Kurulu (YÖK) tarafından </w:t>
      </w:r>
      <w:r w:rsidR="00C722D9">
        <w:rPr>
          <w:rFonts w:ascii="Times New Roman" w:hAnsi="Times New Roman" w:cs="Times New Roman"/>
        </w:rPr>
        <w:t>belirlenir.</w:t>
      </w:r>
      <w:r w:rsidR="00C722D9" w:rsidRPr="00C722D9">
        <w:rPr>
          <w:rFonts w:ascii="Times New Roman" w:hAnsi="Times New Roman" w:cs="Times New Roman"/>
        </w:rPr>
        <w:t xml:space="preserve"> Yükseköğretim Yürütme Kurulu</w:t>
      </w:r>
      <w:r w:rsidR="00C722D9">
        <w:rPr>
          <w:rFonts w:ascii="Times New Roman" w:hAnsi="Times New Roman" w:cs="Times New Roman"/>
        </w:rPr>
        <w:t xml:space="preserve">’nun </w:t>
      </w:r>
      <w:r w:rsidR="00C722D9" w:rsidRPr="00C722D9">
        <w:rPr>
          <w:rFonts w:ascii="Times New Roman" w:hAnsi="Times New Roman" w:cs="Times New Roman"/>
        </w:rPr>
        <w:t xml:space="preserve">Merkezi Yerleştirme Puanına </w:t>
      </w:r>
      <w:r w:rsidR="00C722D9">
        <w:rPr>
          <w:rFonts w:ascii="Times New Roman" w:hAnsi="Times New Roman" w:cs="Times New Roman"/>
        </w:rPr>
        <w:t>göre kurumlar arası yatay geçiş yapacak adaylar için 2015 yılında yayınladığı başvuru koşulları aşağıda açıklanmıştır.</w:t>
      </w:r>
    </w:p>
    <w:p w:rsidR="00482031" w:rsidRPr="00260F91" w:rsidRDefault="00966209" w:rsidP="00B64A78">
      <w:pPr>
        <w:jc w:val="both"/>
        <w:rPr>
          <w:rFonts w:ascii="Times New Roman" w:hAnsi="Times New Roman" w:cs="Times New Roman"/>
          <w:b/>
          <w:color w:val="FF0000"/>
          <w:sz w:val="24"/>
          <w:u w:val="single"/>
        </w:rPr>
      </w:pPr>
      <w:r w:rsidRPr="00260F91">
        <w:rPr>
          <w:rFonts w:ascii="Times New Roman" w:hAnsi="Times New Roman" w:cs="Times New Roman"/>
          <w:b/>
          <w:color w:val="FF0000"/>
          <w:sz w:val="24"/>
          <w:u w:val="single"/>
        </w:rPr>
        <w:t xml:space="preserve">GÜZ Dönemi </w:t>
      </w:r>
      <w:r w:rsidR="00482031" w:rsidRPr="00260F91">
        <w:rPr>
          <w:rFonts w:ascii="Times New Roman" w:hAnsi="Times New Roman" w:cs="Times New Roman"/>
          <w:b/>
          <w:color w:val="FF0000"/>
          <w:sz w:val="24"/>
          <w:u w:val="single"/>
        </w:rPr>
        <w:t xml:space="preserve">Başvuru Koşulları: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w:t>
      </w:r>
      <w:r w:rsidRPr="00260F91">
        <w:rPr>
          <w:rFonts w:ascii="Times New Roman" w:hAnsi="Times New Roman" w:cs="Times New Roman"/>
        </w:rPr>
        <w:t xml:space="preserve">.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rsidRPr="00260F91">
        <w:rPr>
          <w:rFonts w:ascii="Times New Roman" w:hAnsi="Times New Roman" w:cs="Times New Roman"/>
        </w:rPr>
        <w:t>imkanları</w:t>
      </w:r>
      <w:proofErr w:type="gramEnd"/>
      <w:r w:rsidRPr="00260F91">
        <w:rPr>
          <w:rFonts w:ascii="Times New Roman" w:hAnsi="Times New Roman" w:cs="Times New Roman"/>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2</w:t>
      </w:r>
      <w:r w:rsidRPr="00260F91">
        <w:rPr>
          <w:rFonts w:ascii="Times New Roman" w:hAnsi="Times New Roman" w:cs="Times New Roman"/>
        </w:rPr>
        <w:t xml:space="preserve">. Öğrencinin </w:t>
      </w:r>
      <w:r w:rsidRPr="00260F91">
        <w:rPr>
          <w:rFonts w:ascii="Times New Roman" w:hAnsi="Times New Roman" w:cs="Times New Roman"/>
          <w:b/>
        </w:rPr>
        <w:t xml:space="preserve">kayıt olduğu yıldaki merkezi yerleştirme puanlarının başka bir diploma </w:t>
      </w:r>
      <w:proofErr w:type="gramStart"/>
      <w:r w:rsidRPr="00260F91">
        <w:rPr>
          <w:rFonts w:ascii="Times New Roman" w:hAnsi="Times New Roman" w:cs="Times New Roman"/>
          <w:b/>
        </w:rPr>
        <w:t>programının</w:t>
      </w:r>
      <w:proofErr w:type="gramEnd"/>
      <w:r w:rsidRPr="00260F91">
        <w:rPr>
          <w:rFonts w:ascii="Times New Roman" w:hAnsi="Times New Roman" w:cs="Times New Roman"/>
          <w:b/>
        </w:rPr>
        <w:t xml:space="preserve"> girdiği yıldaki taban puanına eşit veya yüksek olması gerektiğine</w:t>
      </w:r>
      <w:r w:rsidRPr="00260F91">
        <w:rPr>
          <w:rFonts w:ascii="Times New Roman" w:hAnsi="Times New Roman" w:cs="Times New Roman"/>
        </w:rPr>
        <w:t xml:space="preserv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3</w:t>
      </w:r>
      <w:r w:rsidRPr="00260F91">
        <w:rPr>
          <w:rFonts w:ascii="Times New Roman" w:hAnsi="Times New Roman" w:cs="Times New Roman"/>
        </w:rPr>
        <w:t xml:space="preserve">. Özel Yetenek Sınavı sonucuna göre kayıt yaptıran öğrencilerin de ikinci madde şartlarını sağlamaları durumunda başvuru yapabileceklerine, ancak özel yetenek sınavı ile öğrenci kabul eden programlara başvuru yapılamayacağına,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4</w:t>
      </w:r>
      <w:r w:rsidRPr="00260F91">
        <w:rPr>
          <w:rFonts w:ascii="Times New Roman" w:hAnsi="Times New Roman" w:cs="Times New Roman"/>
        </w:rPr>
        <w:t xml:space="preserve">.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 </w:t>
      </w:r>
    </w:p>
    <w:p w:rsidR="00966209" w:rsidRPr="00260F91" w:rsidRDefault="00966209" w:rsidP="00B64A78">
      <w:pPr>
        <w:jc w:val="both"/>
        <w:rPr>
          <w:rFonts w:ascii="Times New Roman" w:hAnsi="Times New Roman" w:cs="Times New Roman"/>
        </w:rPr>
      </w:pPr>
      <w:proofErr w:type="gramStart"/>
      <w:r w:rsidRPr="00260F91">
        <w:rPr>
          <w:rFonts w:ascii="Times New Roman" w:hAnsi="Times New Roman" w:cs="Times New Roman"/>
          <w:b/>
          <w:color w:val="FF0000"/>
        </w:rPr>
        <w:t>5</w:t>
      </w:r>
      <w:r w:rsidRPr="00260F91">
        <w:rPr>
          <w:rFonts w:ascii="Times New Roman" w:hAnsi="Times New Roman" w:cs="Times New Roman"/>
        </w:rPr>
        <w:t xml:space="preserve">. Öğrencilerin Ek Madde -1 uyarınca sadece bir defa yatay geçiş yapabilmesine, (İlgili başvuru döneminden önce Ek Madde-1 uyarınca </w:t>
      </w:r>
      <w:r w:rsidRPr="00260F91">
        <w:rPr>
          <w:rFonts w:ascii="Times New Roman" w:hAnsi="Times New Roman" w:cs="Times New Roman"/>
          <w:b/>
        </w:rPr>
        <w:t xml:space="preserve">yatay geçiş yapan öğrencilerin tekrar yatay geçiş </w:t>
      </w:r>
      <w:r w:rsidRPr="00260F91">
        <w:rPr>
          <w:rFonts w:ascii="Times New Roman" w:hAnsi="Times New Roman" w:cs="Times New Roman"/>
          <w:b/>
        </w:rPr>
        <w:lastRenderedPageBreak/>
        <w:t>yapamayacağına</w:t>
      </w:r>
      <w:r w:rsidRPr="00260F91">
        <w:rPr>
          <w:rFonts w:ascii="Times New Roman" w:hAnsi="Times New Roman" w:cs="Times New Roman"/>
        </w:rPr>
        <w:t xml:space="preserve">) ancak, söz konusu madde uyarınca yatay geçiş yapan öğrencilerin ÖSYS merkezi yerleştirme sonucu kayıt hakkı </w:t>
      </w:r>
      <w:r w:rsidRPr="00260F91">
        <w:rPr>
          <w:rFonts w:ascii="Times New Roman" w:hAnsi="Times New Roman" w:cs="Times New Roman"/>
          <w:b/>
        </w:rPr>
        <w:t>kazandıkları yükseköğretim kurumuna daha sonraki başvuru tarihlerinde geri dönebilmelerine,</w:t>
      </w:r>
      <w:r w:rsidRPr="00260F91">
        <w:rPr>
          <w:rFonts w:ascii="Times New Roman" w:hAnsi="Times New Roman" w:cs="Times New Roman"/>
        </w:rPr>
        <w:t xml:space="preserve"> </w:t>
      </w:r>
      <w:proofErr w:type="gramEnd"/>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6</w:t>
      </w:r>
      <w:r w:rsidRPr="00260F91">
        <w:rPr>
          <w:rFonts w:ascii="Times New Roman" w:hAnsi="Times New Roman" w:cs="Times New Roman"/>
        </w:rPr>
        <w:t>. İlgili yılda ÖSYS sonucunda herhangi bir yükseköğretim programına kayıt olan öğrencilerin başvuru yapamamasına,</w:t>
      </w:r>
      <w:r w:rsidRPr="00260F91">
        <w:rPr>
          <w:rFonts w:ascii="Times New Roman" w:hAnsi="Times New Roman" w:cs="Times New Roman"/>
          <w:b/>
        </w:rPr>
        <w:t>(Ön Lisansların 1.</w:t>
      </w:r>
      <w:proofErr w:type="gramStart"/>
      <w:r w:rsidRPr="00260F91">
        <w:rPr>
          <w:rFonts w:ascii="Times New Roman" w:hAnsi="Times New Roman" w:cs="Times New Roman"/>
          <w:b/>
        </w:rPr>
        <w:t>yarı yılında</w:t>
      </w:r>
      <w:proofErr w:type="gramEnd"/>
      <w:r w:rsidRPr="00260F91">
        <w:rPr>
          <w:rFonts w:ascii="Times New Roman" w:hAnsi="Times New Roman" w:cs="Times New Roman"/>
          <w:b/>
        </w:rPr>
        <w:t xml:space="preserve"> yatay geçiş yapılamaz) </w:t>
      </w:r>
      <w:r w:rsidRPr="00260F91">
        <w:rPr>
          <w:rFonts w:ascii="Times New Roman" w:hAnsi="Times New Roman" w:cs="Times New Roman"/>
        </w:rPr>
        <w:t xml:space="preserve">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7</w:t>
      </w:r>
      <w:r w:rsidRPr="00260F91">
        <w:rPr>
          <w:rFonts w:ascii="Times New Roman" w:hAnsi="Times New Roman" w:cs="Times New Roman"/>
        </w:rPr>
        <w:t xml:space="preserve">. Birinci madde uyarınca yükseköğretim kurumlarında kayıtlı olan hazırlık sınıfı, ara sınıflar ve son sınıf </w:t>
      </w:r>
      <w:proofErr w:type="gramStart"/>
      <w:r w:rsidRPr="00260F91">
        <w:rPr>
          <w:rFonts w:ascii="Times New Roman" w:hAnsi="Times New Roman" w:cs="Times New Roman"/>
        </w:rPr>
        <w:t>dahil</w:t>
      </w:r>
      <w:proofErr w:type="gramEnd"/>
      <w:r w:rsidRPr="00260F91">
        <w:rPr>
          <w:rFonts w:ascii="Times New Roman" w:hAnsi="Times New Roman" w:cs="Times New Roman"/>
        </w:rPr>
        <w:t xml:space="preserve"> olmak üzere öğrencilerin söz konusu maddeden yararlanmasına, bu durumdaki adayların intibakının ilgili kurullar tarafından yapılmasına,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8</w:t>
      </w:r>
      <w:r w:rsidRPr="00260F91">
        <w:rPr>
          <w:rFonts w:ascii="Times New Roman" w:hAnsi="Times New Roman" w:cs="Times New Roman"/>
        </w:rPr>
        <w:t xml:space="preserve">. Yükseköğretim kurumlarındaki her bir diploma programının hazırlık sınıfı </w:t>
      </w:r>
      <w:proofErr w:type="gramStart"/>
      <w:r w:rsidRPr="00260F91">
        <w:rPr>
          <w:rFonts w:ascii="Times New Roman" w:hAnsi="Times New Roman" w:cs="Times New Roman"/>
        </w:rPr>
        <w:t>dahil</w:t>
      </w:r>
      <w:proofErr w:type="gramEnd"/>
      <w:r w:rsidRPr="00260F91">
        <w:rPr>
          <w:rFonts w:ascii="Times New Roman" w:hAnsi="Times New Roman" w:cs="Times New Roman"/>
        </w:rPr>
        <w:t xml:space="preserve"> her bir sınıfı için ilgili yılın Öğrenci Seçme ve Yerleştirme Sistemi Kılavuzunda öngörülen öğrenci kontenjanının %30'u kadar kontenjan ayrılmasına,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9</w:t>
      </w:r>
      <w:r w:rsidRPr="00260F91">
        <w:rPr>
          <w:rFonts w:ascii="Times New Roman" w:hAnsi="Times New Roman" w:cs="Times New Roman"/>
        </w:rPr>
        <w:t xml:space="preserve">.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10</w:t>
      </w:r>
      <w:r w:rsidRPr="00260F91">
        <w:rPr>
          <w:rFonts w:ascii="Times New Roman" w:hAnsi="Times New Roman" w:cs="Times New Roman"/>
        </w:rPr>
        <w:t xml:space="preserve">. Üniversitelerin ayrıca bir kontenjan ilan etmesinin gerekmediğine, başvuruların her yıl eğitim öğretim dönemi başlamadan önce Ağustos ayının 30'una kadar alınmasına, başvuruların değerlendirme işlemlerinin Eylül ayının 15'ine kadar, kayıtların da Eylül ayı sonuna kadar bitirilmesine,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11</w:t>
      </w:r>
      <w:r w:rsidRPr="00260F91">
        <w:rPr>
          <w:rFonts w:ascii="Times New Roman" w:hAnsi="Times New Roman" w:cs="Times New Roman"/>
        </w:rPr>
        <w:t xml:space="preserve">. Söz konusu madde uyarınca bir programa başvuran öğrenci sayısının başvurunun yapıldığı yıl için ÖSYM Kılavuzunda yayımlanan kontenjanın %30'unu geçmemesi durumunda adayların kayıtlarının yapılmasına, başvuran aday sayısının kontenjandan fazla olması durumunda ÖSYM puanı en yüksek adaydan başlamak üzere kontenjan kadar adayın kaydının yapılmasına,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12</w:t>
      </w:r>
      <w:r w:rsidRPr="00260F91">
        <w:rPr>
          <w:rFonts w:ascii="Times New Roman" w:hAnsi="Times New Roman" w:cs="Times New Roman"/>
        </w:rPr>
        <w:t xml:space="preserve">. </w:t>
      </w:r>
      <w:proofErr w:type="spellStart"/>
      <w:r w:rsidRPr="00260F91">
        <w:rPr>
          <w:rFonts w:ascii="Times New Roman" w:hAnsi="Times New Roman" w:cs="Times New Roman"/>
        </w:rPr>
        <w:t>Önlisans</w:t>
      </w:r>
      <w:proofErr w:type="spellEnd"/>
      <w:r w:rsidRPr="00260F91">
        <w:rPr>
          <w:rFonts w:ascii="Times New Roman" w:hAnsi="Times New Roman" w:cs="Times New Roman"/>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13</w:t>
      </w:r>
      <w:r w:rsidRPr="00260F91">
        <w:rPr>
          <w:rFonts w:ascii="Times New Roman" w:hAnsi="Times New Roman" w:cs="Times New Roman"/>
        </w:rPr>
        <w:t xml:space="preserve">. DGS puanı ile sadece DGS Kılavuzlarında tanımlanan </w:t>
      </w:r>
      <w:proofErr w:type="spellStart"/>
      <w:r w:rsidRPr="00260F91">
        <w:rPr>
          <w:rFonts w:ascii="Times New Roman" w:hAnsi="Times New Roman" w:cs="Times New Roman"/>
        </w:rPr>
        <w:t>önlisans</w:t>
      </w:r>
      <w:proofErr w:type="spellEnd"/>
      <w:r w:rsidRPr="00260F91">
        <w:rPr>
          <w:rFonts w:ascii="Times New Roman" w:hAnsi="Times New Roman" w:cs="Times New Roman"/>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14</w:t>
      </w:r>
      <w:r w:rsidRPr="00260F91">
        <w:rPr>
          <w:rFonts w:ascii="Times New Roman" w:hAnsi="Times New Roman" w:cs="Times New Roman"/>
        </w:rPr>
        <w:t xml:space="preserve">. Yükseköğretim kurumlarındaki </w:t>
      </w:r>
      <w:proofErr w:type="gramStart"/>
      <w:r w:rsidRPr="00260F91">
        <w:rPr>
          <w:rFonts w:ascii="Times New Roman" w:hAnsi="Times New Roman" w:cs="Times New Roman"/>
        </w:rPr>
        <w:t>M.T.O</w:t>
      </w:r>
      <w:proofErr w:type="gramEnd"/>
      <w:r w:rsidRPr="00260F91">
        <w:rPr>
          <w:rFonts w:ascii="Times New Roman" w:hAnsi="Times New Roman" w:cs="Times New Roman"/>
        </w:rPr>
        <w:t xml:space="preserve">.K.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 </w:t>
      </w:r>
    </w:p>
    <w:p w:rsidR="00966209" w:rsidRPr="00260F91" w:rsidRDefault="00966209" w:rsidP="00B64A78">
      <w:pPr>
        <w:jc w:val="both"/>
        <w:rPr>
          <w:rFonts w:ascii="Times New Roman" w:hAnsi="Times New Roman" w:cs="Times New Roman"/>
        </w:rPr>
      </w:pPr>
      <w:proofErr w:type="gramStart"/>
      <w:r w:rsidRPr="00260F91">
        <w:rPr>
          <w:rFonts w:ascii="Times New Roman" w:hAnsi="Times New Roman" w:cs="Times New Roman"/>
          <w:b/>
          <w:color w:val="FF0000"/>
        </w:rPr>
        <w:lastRenderedPageBreak/>
        <w:t>15</w:t>
      </w:r>
      <w:r w:rsidRPr="00260F91">
        <w:rPr>
          <w:rFonts w:ascii="Times New Roman" w:hAnsi="Times New Roman" w:cs="Times New Roman"/>
        </w:rPr>
        <w:t xml:space="preserve">.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 </w:t>
      </w:r>
      <w:proofErr w:type="gramEnd"/>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16</w:t>
      </w:r>
      <w:r w:rsidRPr="00260F91">
        <w:rPr>
          <w:rFonts w:ascii="Times New Roman" w:hAnsi="Times New Roman" w:cs="Times New Roman"/>
        </w:rPr>
        <w:t>. Ek Madde 1 uyarınca yatay geçiş için başvuran öğrencilerin ÖSYS Kılavuzunda programa kayıt olabilmeleri için aranan özel koşulların bulunması durumunda, bu koşulları sağlamaları gerektiğine,</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17</w:t>
      </w:r>
      <w:r w:rsidRPr="00260F91">
        <w:rPr>
          <w:rFonts w:ascii="Times New Roman" w:hAnsi="Times New Roman" w:cs="Times New Roman"/>
        </w:rPr>
        <w:t xml:space="preserve">.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18</w:t>
      </w:r>
      <w:r w:rsidRPr="00260F91">
        <w:rPr>
          <w:rFonts w:ascii="Times New Roman" w:hAnsi="Times New Roman" w:cs="Times New Roman"/>
        </w:rPr>
        <w:t xml:space="preserve">. 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 </w:t>
      </w:r>
    </w:p>
    <w:p w:rsidR="00260F91" w:rsidRPr="00260F91" w:rsidRDefault="00966209" w:rsidP="00B64A78">
      <w:pPr>
        <w:jc w:val="both"/>
        <w:rPr>
          <w:rFonts w:ascii="Times New Roman" w:hAnsi="Times New Roman" w:cs="Times New Roman"/>
        </w:rPr>
      </w:pPr>
      <w:proofErr w:type="gramStart"/>
      <w:r w:rsidRPr="00260F91">
        <w:rPr>
          <w:rFonts w:ascii="Times New Roman" w:hAnsi="Times New Roman" w:cs="Times New Roman"/>
          <w:b/>
          <w:color w:val="FF0000"/>
        </w:rPr>
        <w:t>19</w:t>
      </w:r>
      <w:r w:rsidRPr="00260F91">
        <w:rPr>
          <w:rFonts w:ascii="Times New Roman" w:hAnsi="Times New Roman" w:cs="Times New Roman"/>
        </w:rPr>
        <w:t xml:space="preserve">. Hazırlık sınıfında başarısız olan öğrencilerin de söz konusu madde kapsamında şartları sağlamaları halinde diğer yükseköğretim programlarına başvuru yapabileceklerine, ayrıca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 </w:t>
      </w:r>
      <w:proofErr w:type="gramEnd"/>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20</w:t>
      </w:r>
      <w:r w:rsidRPr="00260F91">
        <w:rPr>
          <w:rFonts w:ascii="Times New Roman" w:hAnsi="Times New Roman" w:cs="Times New Roman"/>
        </w:rPr>
        <w:t xml:space="preserve">. Başvuruların değerlendirilmesinde sadece öğrencinin kayıtlı olduğu programa yerleştiği yıldaki ÖSYM merkezi yerleştirme puanlarının dikkate alınmasına, başarı vb. şart aranmamasına,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21</w:t>
      </w:r>
      <w:r w:rsidRPr="00260F91">
        <w:rPr>
          <w:rFonts w:ascii="Times New Roman" w:hAnsi="Times New Roman" w:cs="Times New Roman"/>
        </w:rPr>
        <w:t xml:space="preserve">. Söz konusu ilkeler uyarınca Vakıf yükseköğretim kurumlarına yatay geçiş işlemlerinde öğrencilerin ücretli programlara yatay geçiş yapabileceğine, burs verip vermeme kararının ilgili yükseköğretim kurumlarının yetkisinde olduğuna, </w:t>
      </w:r>
    </w:p>
    <w:p w:rsidR="00260F91" w:rsidRPr="00260F91" w:rsidRDefault="00260F91" w:rsidP="00260F91">
      <w:pPr>
        <w:jc w:val="both"/>
        <w:rPr>
          <w:rFonts w:ascii="Times New Roman" w:hAnsi="Times New Roman" w:cs="Times New Roman"/>
          <w:b/>
          <w:color w:val="FF0000"/>
          <w:sz w:val="24"/>
          <w:u w:val="single"/>
        </w:rPr>
      </w:pPr>
      <w:r w:rsidRPr="00260F91">
        <w:rPr>
          <w:rFonts w:ascii="Times New Roman" w:hAnsi="Times New Roman" w:cs="Times New Roman"/>
          <w:b/>
          <w:color w:val="FF0000"/>
          <w:sz w:val="24"/>
          <w:u w:val="single"/>
        </w:rPr>
        <w:t xml:space="preserve">BAHAR Dönemi Başvuru Koşulları: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w:t>
      </w:r>
      <w:r w:rsidRPr="00260F91">
        <w:rPr>
          <w:rFonts w:ascii="Times New Roman" w:hAnsi="Times New Roman" w:cs="Times New Roman"/>
        </w:rPr>
        <w:t xml:space="preserve">. Yurdumuzdaki Öğrenci Seçme ve Yerleştirme Sistemi Yükseköğretim Programları ve Kontenjanları Kılavuzunda yer alan yükseköğretim kurumlarına kayıt yaptırmış adayların başvuru yapabileceğine ve </w:t>
      </w:r>
      <w:r w:rsidRPr="00260F91">
        <w:rPr>
          <w:rFonts w:ascii="Times New Roman" w:hAnsi="Times New Roman" w:cs="Times New Roman"/>
          <w:b/>
        </w:rPr>
        <w:t>yurt dışındaki diğer yükseköğretim kurumlarına kayıt yaptırmış adayların başvuramayacağına</w:t>
      </w:r>
      <w:r w:rsidRPr="00260F91">
        <w:rPr>
          <w:rFonts w:ascii="Times New Roman" w:hAnsi="Times New Roman" w:cs="Times New Roman"/>
        </w:rPr>
        <w:t xml:space="preserve">, (ÖSYS Puanı ile Türkiye'de bir yükseköğretim programına yerleşen, ancak, kayıt yaptırmadan kendi </w:t>
      </w:r>
      <w:proofErr w:type="gramStart"/>
      <w:r w:rsidRPr="00260F91">
        <w:rPr>
          <w:rFonts w:ascii="Times New Roman" w:hAnsi="Times New Roman" w:cs="Times New Roman"/>
        </w:rPr>
        <w:t>imkanları</w:t>
      </w:r>
      <w:proofErr w:type="gramEnd"/>
      <w:r w:rsidRPr="00260F91">
        <w:rPr>
          <w:rFonts w:ascii="Times New Roman" w:hAnsi="Times New Roman" w:cs="Times New Roman"/>
        </w:rP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 </w:t>
      </w:r>
    </w:p>
    <w:p w:rsidR="00260F91" w:rsidRPr="00260F91" w:rsidRDefault="00966209" w:rsidP="00B64A78">
      <w:pPr>
        <w:jc w:val="both"/>
        <w:rPr>
          <w:rFonts w:ascii="Times New Roman" w:hAnsi="Times New Roman" w:cs="Times New Roman"/>
        </w:rPr>
      </w:pPr>
      <w:proofErr w:type="gramStart"/>
      <w:r w:rsidRPr="00260F91">
        <w:rPr>
          <w:rFonts w:ascii="Times New Roman" w:hAnsi="Times New Roman" w:cs="Times New Roman"/>
          <w:b/>
          <w:color w:val="FF0000"/>
        </w:rPr>
        <w:t>2</w:t>
      </w:r>
      <w:r w:rsidRPr="00260F91">
        <w:rPr>
          <w:rFonts w:ascii="Times New Roman" w:hAnsi="Times New Roman" w:cs="Times New Roman"/>
        </w:rPr>
        <w:t xml:space="preserve">. Öğrencinin </w:t>
      </w:r>
      <w:r w:rsidRPr="00260F91">
        <w:rPr>
          <w:rFonts w:ascii="Times New Roman" w:hAnsi="Times New Roman" w:cs="Times New Roman"/>
          <w:b/>
        </w:rPr>
        <w:t>kayıt olduğu yıldaki merkezi yerleştirme puanlarının başka bir diploma programının girdiği yıldaki taban puanına eşit veya yüksek olması</w:t>
      </w:r>
      <w:r w:rsidRPr="00260F91">
        <w:rPr>
          <w:rFonts w:ascii="Times New Roman" w:hAnsi="Times New Roman" w:cs="Times New Roman"/>
        </w:rPr>
        <w:t xml:space="preserve"> gerektiğine, (Örneğin, İşletme (puan türü TM1) programında kayıtlı bir öğrencinin merkezi yerleştirme puanları arasında MF4 puanı </w:t>
      </w:r>
      <w:r w:rsidRPr="00260F91">
        <w:rPr>
          <w:rFonts w:ascii="Times New Roman" w:hAnsi="Times New Roman" w:cs="Times New Roman"/>
        </w:rPr>
        <w:lastRenderedPageBreak/>
        <w:t xml:space="preserve">varsa ve bu öğrencinin MF4 puanının geçmek istediği İnşaat Mühendisliği programının taban puanına eşit veya yüksek olması durumunda uygulama esasları çerçevesinde yatay geçiş yapabilecektir.) </w:t>
      </w:r>
      <w:proofErr w:type="gramEnd"/>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3</w:t>
      </w:r>
      <w:r w:rsidRPr="00260F91">
        <w:rPr>
          <w:rFonts w:ascii="Times New Roman" w:hAnsi="Times New Roman" w:cs="Times New Roman"/>
        </w:rPr>
        <w:t xml:space="preserve">. Özel Yetenek Sınavı sonucuna göre kayıt yaptıran öğrencilerin de ikinci madde şartlarını sağlamaları durumunda başvuru yapabileceklerine, ancak özel yetenek sınavı ile öğrenci kabul eden programlara başvuru yapılamayacağına,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4</w:t>
      </w:r>
      <w:r w:rsidRPr="00260F91">
        <w:rPr>
          <w:rFonts w:ascii="Times New Roman" w:hAnsi="Times New Roman" w:cs="Times New Roman"/>
        </w:rPr>
        <w:t xml:space="preserve">.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 </w:t>
      </w:r>
    </w:p>
    <w:p w:rsidR="00260F91" w:rsidRPr="00260F91" w:rsidRDefault="00966209" w:rsidP="00B64A78">
      <w:pPr>
        <w:jc w:val="both"/>
        <w:rPr>
          <w:rFonts w:ascii="Times New Roman" w:hAnsi="Times New Roman" w:cs="Times New Roman"/>
        </w:rPr>
      </w:pPr>
      <w:proofErr w:type="gramStart"/>
      <w:r w:rsidRPr="00260F91">
        <w:rPr>
          <w:rFonts w:ascii="Times New Roman" w:hAnsi="Times New Roman" w:cs="Times New Roman"/>
          <w:b/>
          <w:color w:val="FF0000"/>
        </w:rPr>
        <w:t>5</w:t>
      </w:r>
      <w:r w:rsidRPr="00260F91">
        <w:rPr>
          <w:rFonts w:ascii="Times New Roman" w:hAnsi="Times New Roman" w:cs="Times New Roman"/>
        </w:rPr>
        <w:t xml:space="preserve">.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 </w:t>
      </w:r>
      <w:proofErr w:type="gramEnd"/>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6</w:t>
      </w:r>
      <w:r w:rsidRPr="00260F91">
        <w:rPr>
          <w:rFonts w:ascii="Times New Roman" w:hAnsi="Times New Roman" w:cs="Times New Roman"/>
        </w:rPr>
        <w:t xml:space="preserve">. İlgili yılın ÖSYS sonucunda herhangi bir yükseköğretim programına kayıt olan öğrencilerin de bahar dönemi için başvuru yapabileceklerine,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7</w:t>
      </w:r>
      <w:r w:rsidRPr="00260F91">
        <w:rPr>
          <w:rFonts w:ascii="Times New Roman" w:hAnsi="Times New Roman" w:cs="Times New Roman"/>
        </w:rPr>
        <w:t xml:space="preserve">. Birinci madde uyarınca yükseköğretim kurumlarında kayıtlı olan hazırlık sınıfı, ara sınıflar ve son sınıf </w:t>
      </w:r>
      <w:proofErr w:type="gramStart"/>
      <w:r w:rsidRPr="00260F91">
        <w:rPr>
          <w:rFonts w:ascii="Times New Roman" w:hAnsi="Times New Roman" w:cs="Times New Roman"/>
        </w:rPr>
        <w:t>dahil</w:t>
      </w:r>
      <w:proofErr w:type="gramEnd"/>
      <w:r w:rsidRPr="00260F91">
        <w:rPr>
          <w:rFonts w:ascii="Times New Roman" w:hAnsi="Times New Roman" w:cs="Times New Roman"/>
        </w:rPr>
        <w:t xml:space="preserve"> olmak üzere öğrencilerin söz konusu maddeden yararlanmasına, bu durumdaki adayların intibakının ilgili kurullar tarafından yapılmasına,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8</w:t>
      </w:r>
      <w:r w:rsidRPr="00260F91">
        <w:rPr>
          <w:rFonts w:ascii="Times New Roman" w:hAnsi="Times New Roman" w:cs="Times New Roman"/>
        </w:rPr>
        <w:t xml:space="preserve">. Yükseköğretim kurumlarındaki her bir diploma programının hazırlık sınıfı </w:t>
      </w:r>
      <w:proofErr w:type="gramStart"/>
      <w:r w:rsidRPr="00260F91">
        <w:rPr>
          <w:rFonts w:ascii="Times New Roman" w:hAnsi="Times New Roman" w:cs="Times New Roman"/>
        </w:rPr>
        <w:t>dahil</w:t>
      </w:r>
      <w:proofErr w:type="gramEnd"/>
      <w:r w:rsidRPr="00260F91">
        <w:rPr>
          <w:rFonts w:ascii="Times New Roman" w:hAnsi="Times New Roman" w:cs="Times New Roman"/>
        </w:rPr>
        <w:t xml:space="preserve"> her bir sınıfı için ilgili yılın Öğrenci Seçme ve Yerleştirme Sistemi Kılavuzunda öngörülen öğrenci kontenjanının %20’sini geçmeyecek kadar kontenjan ayrılmasına,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9</w:t>
      </w:r>
      <w:r w:rsidRPr="00260F91">
        <w:rPr>
          <w:rFonts w:ascii="Times New Roman" w:hAnsi="Times New Roman" w:cs="Times New Roman"/>
        </w:rPr>
        <w:t xml:space="preserve">. Ara sınıflarda okuyan öğrencilerin başvurması halinde başvuru yapılan yükseköğretim programına ilgili yılın ÖSYS kılavuzunda öğrenci alınmamışsa, başvuru yapılan programın öğrencinin öğrenim görmekte olduğu programa kayıt olduğu yıldaki ÖSYM Kılavuzunda yer alan kontenjanının dikkate alınmasına,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10</w:t>
      </w:r>
      <w:r w:rsidRPr="00260F91">
        <w:rPr>
          <w:rFonts w:ascii="Times New Roman" w:hAnsi="Times New Roman" w:cs="Times New Roman"/>
        </w:rPr>
        <w:t xml:space="preserve">. Sadece bahar dönemine mahsus olmak üzere Üniversiteler tarafından ayrılan kontenjanların ilan edilmesine, başvuruların ve değerlendirmelerin bahar dönemi için eğitim öğretim dönemi başlamadan önce yapılmasına,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11</w:t>
      </w:r>
      <w:r w:rsidRPr="00260F91">
        <w:rPr>
          <w:rFonts w:ascii="Times New Roman" w:hAnsi="Times New Roman" w:cs="Times New Roman"/>
        </w:rPr>
        <w:t xml:space="preserve">.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12</w:t>
      </w:r>
      <w:r w:rsidRPr="00260F91">
        <w:rPr>
          <w:rFonts w:ascii="Times New Roman" w:hAnsi="Times New Roman" w:cs="Times New Roman"/>
        </w:rPr>
        <w:t xml:space="preserve">. </w:t>
      </w:r>
      <w:proofErr w:type="spellStart"/>
      <w:r w:rsidRPr="00260F91">
        <w:rPr>
          <w:rFonts w:ascii="Times New Roman" w:hAnsi="Times New Roman" w:cs="Times New Roman"/>
        </w:rPr>
        <w:t>Önlisans</w:t>
      </w:r>
      <w:proofErr w:type="spellEnd"/>
      <w:r w:rsidRPr="00260F91">
        <w:rPr>
          <w:rFonts w:ascii="Times New Roman" w:hAnsi="Times New Roman" w:cs="Times New Roman"/>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13</w:t>
      </w:r>
      <w:r w:rsidRPr="00260F91">
        <w:rPr>
          <w:rFonts w:ascii="Times New Roman" w:hAnsi="Times New Roman" w:cs="Times New Roman"/>
        </w:rPr>
        <w:t xml:space="preserve">. DGS puanı ile sadece DGS Kılavuzlarında tanımlanan </w:t>
      </w:r>
      <w:proofErr w:type="spellStart"/>
      <w:r w:rsidRPr="00260F91">
        <w:rPr>
          <w:rFonts w:ascii="Times New Roman" w:hAnsi="Times New Roman" w:cs="Times New Roman"/>
        </w:rPr>
        <w:t>önlisans</w:t>
      </w:r>
      <w:proofErr w:type="spellEnd"/>
      <w:r w:rsidRPr="00260F91">
        <w:rPr>
          <w:rFonts w:ascii="Times New Roman" w:hAnsi="Times New Roman" w:cs="Times New Roman"/>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lastRenderedPageBreak/>
        <w:t>14</w:t>
      </w:r>
      <w:r w:rsidRPr="00260F91">
        <w:rPr>
          <w:rFonts w:ascii="Times New Roman" w:hAnsi="Times New Roman" w:cs="Times New Roman"/>
        </w:rPr>
        <w:t xml:space="preserve">. Yükseköğretim kurumlarındaki </w:t>
      </w:r>
      <w:proofErr w:type="gramStart"/>
      <w:r w:rsidRPr="00260F91">
        <w:rPr>
          <w:rFonts w:ascii="Times New Roman" w:hAnsi="Times New Roman" w:cs="Times New Roman"/>
        </w:rPr>
        <w:t>M.T.O</w:t>
      </w:r>
      <w:proofErr w:type="gramEnd"/>
      <w:r w:rsidRPr="00260F91">
        <w:rPr>
          <w:rFonts w:ascii="Times New Roman" w:hAnsi="Times New Roman" w:cs="Times New Roman"/>
        </w:rPr>
        <w:t xml:space="preserve">.K.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 </w:t>
      </w:r>
    </w:p>
    <w:p w:rsidR="00260F91" w:rsidRPr="00260F91" w:rsidRDefault="00966209" w:rsidP="00B64A78">
      <w:pPr>
        <w:jc w:val="both"/>
        <w:rPr>
          <w:rFonts w:ascii="Times New Roman" w:hAnsi="Times New Roman" w:cs="Times New Roman"/>
        </w:rPr>
      </w:pPr>
      <w:proofErr w:type="gramStart"/>
      <w:r w:rsidRPr="00260F91">
        <w:rPr>
          <w:rFonts w:ascii="Times New Roman" w:hAnsi="Times New Roman" w:cs="Times New Roman"/>
          <w:b/>
          <w:color w:val="FF0000"/>
        </w:rPr>
        <w:t>15</w:t>
      </w:r>
      <w:r w:rsidRPr="00260F91">
        <w:rPr>
          <w:rFonts w:ascii="Times New Roman" w:hAnsi="Times New Roman" w:cs="Times New Roman"/>
        </w:rPr>
        <w:t xml:space="preserve">.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 </w:t>
      </w:r>
      <w:proofErr w:type="gramEnd"/>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16</w:t>
      </w:r>
      <w:r w:rsidRPr="00260F91">
        <w:rPr>
          <w:rFonts w:ascii="Times New Roman" w:hAnsi="Times New Roman" w:cs="Times New Roman"/>
        </w:rPr>
        <w:t>. Ek Madde 1 uyarınca yatay geçiş için başvuran öğrencilerin ÖSYS Kılavuzunda programa kayıt olabilmeleri için aranan özel koşulların bulunması durumunda, bu koşulları sağlamaları gerektiğine,</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17</w:t>
      </w:r>
      <w:r w:rsidRPr="00260F91">
        <w:rPr>
          <w:rFonts w:ascii="Times New Roman" w:hAnsi="Times New Roman" w:cs="Times New Roman"/>
        </w:rPr>
        <w:t xml:space="preserve">.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18</w:t>
      </w:r>
      <w:r w:rsidRPr="00260F91">
        <w:rPr>
          <w:rFonts w:ascii="Times New Roman" w:hAnsi="Times New Roman" w:cs="Times New Roman"/>
        </w:rPr>
        <w:t xml:space="preserve">. Öğretim dili Türkçe programdan tamamen veya kısmen yabancı dilde eğitim yapan programlara geçişte öğrencinin yabancı dil şartını sağlaması gerektiğine, hazırlık sınıfında veya birinci sınıfta geçiş yapmak isteyen öğrencilerin yabancı dil şartını sağlamaması durumunda yabancı dil hazırlık eğitimi almaları gerektiğine,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19</w:t>
      </w:r>
      <w:r w:rsidRPr="00260F91">
        <w:rPr>
          <w:rFonts w:ascii="Times New Roman" w:hAnsi="Times New Roman" w:cs="Times New Roman"/>
        </w:rPr>
        <w:t xml:space="preserve">. Hazırlık sınıfında başarısız olan öğrencilerin de söz konusu madde kapsamında şartları sağlamaları halinde diğer yükseköğretim programlarına başvuru yapabileceklerine, </w:t>
      </w:r>
    </w:p>
    <w:p w:rsidR="00260F91"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20</w:t>
      </w:r>
      <w:r w:rsidRPr="00260F91">
        <w:rPr>
          <w:rFonts w:ascii="Times New Roman" w:hAnsi="Times New Roman" w:cs="Times New Roman"/>
        </w:rPr>
        <w:t xml:space="preserve">. Başvuruların değerlendirilmesinde sadece öğrencinin kayıtlı olduğu programa yerleştiği yıldaki ÖSYM merkezi yerleştirme puanlarının dikkate alınmasına, başarı vb. şart aranmamasına, </w:t>
      </w:r>
    </w:p>
    <w:p w:rsidR="00966209" w:rsidRPr="00260F91" w:rsidRDefault="00966209" w:rsidP="00B64A78">
      <w:pPr>
        <w:jc w:val="both"/>
        <w:rPr>
          <w:rFonts w:ascii="Times New Roman" w:hAnsi="Times New Roman" w:cs="Times New Roman"/>
        </w:rPr>
      </w:pPr>
      <w:r w:rsidRPr="00260F91">
        <w:rPr>
          <w:rFonts w:ascii="Times New Roman" w:hAnsi="Times New Roman" w:cs="Times New Roman"/>
          <w:b/>
          <w:color w:val="FF0000"/>
        </w:rPr>
        <w:t>21</w:t>
      </w:r>
      <w:r w:rsidRPr="00260F91">
        <w:rPr>
          <w:rFonts w:ascii="Times New Roman" w:hAnsi="Times New Roman" w:cs="Times New Roman"/>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482031" w:rsidRPr="00260F91" w:rsidRDefault="00482031" w:rsidP="00B64A78">
      <w:pPr>
        <w:jc w:val="both"/>
        <w:rPr>
          <w:rFonts w:ascii="Times New Roman" w:hAnsi="Times New Roman" w:cs="Times New Roman"/>
          <w:b/>
          <w:color w:val="FF0000"/>
          <w:sz w:val="24"/>
          <w:u w:val="single"/>
        </w:rPr>
      </w:pPr>
      <w:r w:rsidRPr="00260F91">
        <w:rPr>
          <w:rFonts w:ascii="Times New Roman" w:hAnsi="Times New Roman" w:cs="Times New Roman"/>
          <w:b/>
          <w:color w:val="FF0000"/>
          <w:sz w:val="24"/>
          <w:u w:val="single"/>
        </w:rPr>
        <w:t xml:space="preserve">Başvuruların Değerlendirilmesi: </w:t>
      </w:r>
    </w:p>
    <w:p w:rsidR="00966209" w:rsidRPr="00260F91" w:rsidRDefault="00482031" w:rsidP="00966209">
      <w:pPr>
        <w:jc w:val="both"/>
        <w:rPr>
          <w:rFonts w:ascii="Times New Roman" w:hAnsi="Times New Roman" w:cs="Times New Roman"/>
        </w:rPr>
      </w:pPr>
      <w:r w:rsidRPr="00260F91">
        <w:rPr>
          <w:rFonts w:ascii="Times New Roman" w:hAnsi="Times New Roman" w:cs="Times New Roman"/>
          <w:b/>
          <w:color w:val="FF0000"/>
        </w:rPr>
        <w:t>1</w:t>
      </w:r>
      <w:r w:rsidRPr="00260F91">
        <w:rPr>
          <w:rFonts w:ascii="Times New Roman" w:hAnsi="Times New Roman" w:cs="Times New Roman"/>
        </w:rPr>
        <w:t>.</w:t>
      </w:r>
      <w:r w:rsidR="00966209" w:rsidRPr="00260F91">
        <w:rPr>
          <w:rFonts w:ascii="Times New Roman" w:hAnsi="Times New Roman" w:cs="Times New Roman"/>
        </w:rPr>
        <w:t xml:space="preserve">Başvurular ilgili bölüm başkanlıklarında oluşturulan komisyonlar tarafından usul ve esaslar dikkate alınarak yapılır. Adayın ÖSYM puanı dikkate alınarak, ilgili birim yönetim kurulunca karara bağlanır. </w:t>
      </w:r>
    </w:p>
    <w:p w:rsidR="00966209" w:rsidRPr="00260F91" w:rsidRDefault="00966209" w:rsidP="00966209">
      <w:pPr>
        <w:jc w:val="both"/>
        <w:rPr>
          <w:rFonts w:ascii="Times New Roman" w:hAnsi="Times New Roman" w:cs="Times New Roman"/>
        </w:rPr>
      </w:pPr>
      <w:r w:rsidRPr="00260F91">
        <w:rPr>
          <w:rFonts w:ascii="Times New Roman" w:hAnsi="Times New Roman" w:cs="Times New Roman"/>
          <w:b/>
          <w:color w:val="FF0000"/>
        </w:rPr>
        <w:t>2</w:t>
      </w:r>
      <w:r w:rsidRPr="00260F91">
        <w:rPr>
          <w:rFonts w:ascii="Times New Roman" w:hAnsi="Times New Roman" w:cs="Times New Roman"/>
        </w:rPr>
        <w:t xml:space="preserve">. Yeterli şartları taşıyan aday olması halinde aynı sayıda asıl ve yedek aday belirlenir. </w:t>
      </w:r>
    </w:p>
    <w:p w:rsidR="00482031" w:rsidRPr="00260F91" w:rsidRDefault="00966209" w:rsidP="00966209">
      <w:pPr>
        <w:jc w:val="both"/>
        <w:rPr>
          <w:rFonts w:ascii="Times New Roman" w:hAnsi="Times New Roman" w:cs="Times New Roman"/>
        </w:rPr>
      </w:pPr>
      <w:r w:rsidRPr="00260F91">
        <w:rPr>
          <w:rFonts w:ascii="Times New Roman" w:hAnsi="Times New Roman" w:cs="Times New Roman"/>
          <w:b/>
          <w:color w:val="FF0000"/>
        </w:rPr>
        <w:t>3</w:t>
      </w:r>
      <w:r w:rsidRPr="00260F91">
        <w:rPr>
          <w:rFonts w:ascii="Times New Roman" w:hAnsi="Times New Roman" w:cs="Times New Roman"/>
        </w:rPr>
        <w:t>. Takvimde belirlenen süre içinde başvurmayan asıl adaylar yerine yedeklerin başvurusu alınır</w:t>
      </w:r>
    </w:p>
    <w:sectPr w:rsidR="00482031" w:rsidRPr="00260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59ED"/>
    <w:multiLevelType w:val="hybridMultilevel"/>
    <w:tmpl w:val="F69AF2EC"/>
    <w:lvl w:ilvl="0" w:tplc="1B90D70E">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CDB184B"/>
    <w:multiLevelType w:val="hybridMultilevel"/>
    <w:tmpl w:val="09488F58"/>
    <w:lvl w:ilvl="0" w:tplc="D39C8A02">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1"/>
    <w:rsid w:val="0004491B"/>
    <w:rsid w:val="00260F91"/>
    <w:rsid w:val="00482031"/>
    <w:rsid w:val="006273E4"/>
    <w:rsid w:val="00966209"/>
    <w:rsid w:val="00B64A78"/>
    <w:rsid w:val="00C722D9"/>
    <w:rsid w:val="00DF4C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031"/>
    <w:pPr>
      <w:ind w:left="720"/>
      <w:contextualSpacing/>
    </w:pPr>
  </w:style>
  <w:style w:type="paragraph" w:styleId="BalonMetni">
    <w:name w:val="Balloon Text"/>
    <w:basedOn w:val="Normal"/>
    <w:link w:val="BalonMetniChar"/>
    <w:uiPriority w:val="99"/>
    <w:semiHidden/>
    <w:unhideWhenUsed/>
    <w:rsid w:val="00DF4C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4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031"/>
    <w:pPr>
      <w:ind w:left="720"/>
      <w:contextualSpacing/>
    </w:pPr>
  </w:style>
  <w:style w:type="paragraph" w:styleId="BalonMetni">
    <w:name w:val="Balloon Text"/>
    <w:basedOn w:val="Normal"/>
    <w:link w:val="BalonMetniChar"/>
    <w:uiPriority w:val="99"/>
    <w:semiHidden/>
    <w:unhideWhenUsed/>
    <w:rsid w:val="00DF4C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13177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2015-12-08T11:34:00Z</dcterms:created>
  <dcterms:modified xsi:type="dcterms:W3CDTF">2015-12-08T11:35:00Z</dcterms:modified>
</cp:coreProperties>
</file>